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7" w:rsidRPr="00153BB9" w:rsidRDefault="007F7B27" w:rsidP="007F7B27">
      <w:pPr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153BB9">
        <w:rPr>
          <w:rFonts w:ascii="Times New Roman" w:eastAsia="Times New Roman" w:hAnsi="Times New Roman"/>
          <w:b/>
          <w:sz w:val="20"/>
          <w:szCs w:val="20"/>
          <w:lang w:eastAsia="es-MX"/>
        </w:rPr>
        <w:t>DELEGACIÓN CUAJIMALPA DE MORELOS</w:t>
      </w:r>
    </w:p>
    <w:p w:rsidR="007F7B27" w:rsidRDefault="004C04D6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/>
          <w:sz w:val="20"/>
          <w:szCs w:val="20"/>
          <w:lang w:eastAsia="es-MX"/>
        </w:rPr>
        <w:t>Lic. Alejandro E. Zapata Sánchez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, </w:t>
      </w:r>
      <w:r w:rsidRPr="00BD4B88">
        <w:rPr>
          <w:rFonts w:ascii="Times New Roman" w:eastAsia="Times New Roman" w:hAnsi="Times New Roman"/>
          <w:sz w:val="20"/>
          <w:szCs w:val="20"/>
          <w:lang w:eastAsia="es-MX"/>
        </w:rPr>
        <w:t>Direc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tor</w:t>
      </w:r>
      <w:r w:rsidRPr="00BD4B88">
        <w:rPr>
          <w:rFonts w:ascii="Times New Roman" w:eastAsia="Times New Roman" w:hAnsi="Times New Roman"/>
          <w:sz w:val="20"/>
          <w:szCs w:val="20"/>
          <w:lang w:eastAsia="es-MX"/>
        </w:rPr>
        <w:t xml:space="preserve"> General de Desarrollo Social en Cuajimalpa de Morelos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, con fundamento en lo dispuesto en los artículos 122 inciso C Base Tercera, Fracción II de la Constitución Política de los Estados Unidos Mexicanos;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1,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87,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104,105, 112 segundo párrafo y 117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del Estatuto de Gobierno del Distrito Federal;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1, 2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parrafo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tercero, 3 fracciones III y VII, 10 fracción V, II párrafo sexto, 37,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38 y 39 fracción LVI, de la Ley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Orgánica de la Administración Pública del Distrito 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3 fracción V, 4,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32, 33 y 35, de la Ley de Desarrollo Social para el Distrito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1, 2, 3,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50, 51 y 52, del Reglamento de la Ley de Desarrollo Social para el Distrito Federal;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1, 2, 3, fracción III, 120,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121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,122 fracción V, 122Bis fracción V inciso E, 123 y 128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del Reglamento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Interior de la Administración Pública del Distrito Federal y el Decreto de Presupuesto de Egresos del Distrito Federal para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el Ejercicio Fiscal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;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Acuerdo por el que se delega en el Director General de Desarrollo Social del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Organo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Político Administrativo de Cuajimalpa de Morelos las facultades que se indican, </w:t>
      </w:r>
      <w:r w:rsidR="00322262">
        <w:rPr>
          <w:rFonts w:ascii="Times New Roman" w:eastAsia="Times New Roman" w:hAnsi="Times New Roman"/>
          <w:sz w:val="20"/>
          <w:szCs w:val="20"/>
          <w:lang w:eastAsia="es-MX"/>
        </w:rPr>
        <w:t xml:space="preserve">publicado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en la Gaceta Oficial No. 241</w:t>
      </w:r>
      <w:r w:rsidR="00322262">
        <w:rPr>
          <w:rFonts w:ascii="Times New Roman" w:eastAsia="Times New Roman" w:hAnsi="Times New Roman"/>
          <w:sz w:val="20"/>
          <w:szCs w:val="20"/>
          <w:lang w:eastAsia="es-MX"/>
        </w:rPr>
        <w:t>,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fecha 17 de diciembre de 2015 ;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emite el siguiente:</w:t>
      </w:r>
    </w:p>
    <w:p w:rsidR="004C04D6" w:rsidRDefault="004C04D6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AVISO POR EL CUAL SE DA A CONOCER LA RELACIÓN DE BENEFICIARIOS DEL PROGRAMA </w:t>
      </w:r>
      <w:r w:rsidR="000735E9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DE </w:t>
      </w:r>
      <w:r w:rsidR="00A5652A" w:rsidRPr="00A5652A">
        <w:rPr>
          <w:rFonts w:ascii="Times New Roman" w:hAnsi="Times New Roman"/>
          <w:b/>
          <w:sz w:val="20"/>
          <w:szCs w:val="20"/>
        </w:rPr>
        <w:t>APOYO A NIÑOS Y ADULTOS CON ALGUNA DISCAPACIDAD MOTRIZ</w:t>
      </w:r>
      <w:r w:rsidR="00A5652A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C</w:t>
      </w: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ON CARGO A LA DELEGACIÓN CUAJIMALPA DE MORELOS PARA EL EJERCICIO FISCAL 201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5</w:t>
      </w: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  <w:bookmarkStart w:id="0" w:name="_GoBack"/>
      <w:bookmarkEnd w:id="0"/>
    </w:p>
    <w:p w:rsidR="007F7B27" w:rsidRPr="00DF3CDE" w:rsidRDefault="007F7B27" w:rsidP="007F7B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CONSIDERANDO</w:t>
      </w:r>
    </w:p>
    <w:p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:rsidR="007F7B27" w:rsidRDefault="007F7B27" w:rsidP="007F7B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Conforme a lo establecido en las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respectivas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Reglas de Operación de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los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Programa a cargo de la Delegación Cuajimalpa de Morelos para el ejercicio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publicadas en la Gaceta Oficial del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Distrito Federal el día </w:t>
      </w:r>
      <w:r w:rsidR="00C85751">
        <w:rPr>
          <w:rFonts w:ascii="Times New Roman" w:eastAsia="Times New Roman" w:hAnsi="Times New Roman"/>
          <w:sz w:val="20"/>
          <w:szCs w:val="20"/>
          <w:lang w:eastAsia="es-MX"/>
        </w:rPr>
        <w:t>1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 </w:t>
      </w:r>
      <w:r w:rsidR="00C85751">
        <w:rPr>
          <w:rFonts w:ascii="Times New Roman" w:eastAsia="Times New Roman" w:hAnsi="Times New Roman"/>
          <w:sz w:val="20"/>
          <w:szCs w:val="20"/>
          <w:lang w:eastAsia="es-MX"/>
        </w:rPr>
        <w:t>septiembre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de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la Delegación Cuajimalpa de Morelos, presenta 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siguiente padrón de </w:t>
      </w:r>
      <w:r w:rsidRPr="00F30E61">
        <w:rPr>
          <w:rFonts w:ascii="Times New Roman" w:eastAsia="Times New Roman" w:hAnsi="Times New Roman"/>
          <w:sz w:val="20"/>
          <w:szCs w:val="20"/>
          <w:lang w:eastAsia="es-MX"/>
        </w:rPr>
        <w:t>Derechohabientes y/o Beneficiarios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dicho Programa.</w:t>
      </w:r>
    </w:p>
    <w:p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0"/>
        <w:gridCol w:w="6485"/>
      </w:tblGrid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Subprograma o vertiente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A5652A" w:rsidP="00DD4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A5652A">
              <w:rPr>
                <w:rFonts w:ascii="Times New Roman" w:hAnsi="Times New Roman"/>
                <w:sz w:val="20"/>
                <w:szCs w:val="20"/>
              </w:rPr>
              <w:t>Apoyo a Niños y Adultos con alguna Discapacidad Motriz</w:t>
            </w:r>
          </w:p>
        </w:tc>
      </w:tr>
      <w:tr w:rsidR="007F7B27" w:rsidRPr="00C426D8" w:rsidTr="007F7B27">
        <w:trPr>
          <w:trHeight w:val="100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Objetivo general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  <w:p w:rsidR="007F7B27" w:rsidRDefault="00C641BA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Otorgar una silla de ruedas a personas con discapacidad motriz, fomentando con esto, una mejor calidad de vida, apoyo a su economía y una mayor autonomía.</w:t>
            </w:r>
          </w:p>
          <w:p w:rsidR="007F7B27" w:rsidRPr="0032129B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programa social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Apoyo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en especie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Descripción de los bienes materiales, monetarios y/o servicios que otorgó el programa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250EB" w:rsidRDefault="00A5652A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63</w:t>
            </w:r>
            <w:r w:rsidR="007F7B27"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transferencias m</w:t>
            </w:r>
            <w:r w:rsidR="007F7B27">
              <w:rPr>
                <w:rFonts w:ascii="Times New Roman" w:hAnsi="Times New Roman"/>
                <w:sz w:val="20"/>
                <w:szCs w:val="20"/>
                <w:lang w:eastAsia="es-MX"/>
              </w:rPr>
              <w:t>ateriales</w:t>
            </w:r>
            <w:r w:rsidR="007F7B27"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de</w:t>
            </w:r>
            <w:r w:rsidR="007F7B27" w:rsidRPr="00D250EB">
              <w:rPr>
                <w:rFonts w:ascii="Times New Roman" w:hAnsi="Times New Roman"/>
                <w:sz w:val="20"/>
                <w:szCs w:val="20"/>
                <w:lang w:eastAsia="es-MX"/>
              </w:rPr>
              <w:t>:</w:t>
            </w:r>
          </w:p>
          <w:p w:rsidR="007F7B27" w:rsidRPr="0032129B" w:rsidRDefault="00A5652A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Sillas de Ruedas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Periodo que se reporta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2015</w:t>
            </w:r>
          </w:p>
        </w:tc>
      </w:tr>
      <w:tr w:rsidR="007F7B27" w:rsidRPr="00C426D8" w:rsidTr="007F7B27">
        <w:trPr>
          <w:trHeight w:val="54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población atendida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A5652A" w:rsidP="00A56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Niños y Adultos c</w:t>
            </w:r>
            <w:r w:rsidRPr="00A5652A">
              <w:rPr>
                <w:rFonts w:ascii="Times New Roman" w:hAnsi="Times New Roman"/>
                <w:sz w:val="20"/>
                <w:szCs w:val="20"/>
              </w:rPr>
              <w:t>on alguna discapacidad motriz que le impide desplazarse por sus propios medios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 que sea</w:t>
            </w:r>
            <w:r w:rsidRPr="00A5652A">
              <w:rPr>
                <w:rFonts w:ascii="Times New Roman" w:hAnsi="Times New Roman"/>
                <w:sz w:val="20"/>
                <w:szCs w:val="20"/>
              </w:rPr>
              <w:t xml:space="preserve"> mayor de 3 años de edad.</w:t>
            </w: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Derecho social que garantiza de acuerdo a la Ley de Desarrollo Social para el Distrito Federal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Promueve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el cumplimiento de los derechos sociales universales en materia de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>salud e infraestructura social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.</w:t>
            </w:r>
          </w:p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703"/>
        <w:gridCol w:w="1560"/>
        <w:gridCol w:w="1560"/>
        <w:gridCol w:w="2126"/>
        <w:gridCol w:w="1711"/>
        <w:gridCol w:w="308"/>
        <w:gridCol w:w="487"/>
      </w:tblGrid>
      <w:tr w:rsidR="008D5D8E" w:rsidRPr="00C426D8" w:rsidTr="004A3B3B">
        <w:trPr>
          <w:trHeight w:val="322"/>
          <w:jc w:val="center"/>
        </w:trPr>
        <w:tc>
          <w:tcPr>
            <w:tcW w:w="303" w:type="pct"/>
            <w:vMerge w:val="restart"/>
            <w:shd w:val="clear" w:color="auto" w:fill="D9D9D9"/>
            <w:noWrap/>
            <w:vAlign w:val="center"/>
          </w:tcPr>
          <w:p w:rsidR="00687958" w:rsidRPr="00C426D8" w:rsidRDefault="00687958" w:rsidP="00C426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96" w:type="pct"/>
            <w:gridSpan w:val="3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906" w:type="pct"/>
            <w:gridSpan w:val="2"/>
            <w:shd w:val="clear" w:color="auto" w:fill="D9D9D9"/>
            <w:noWrap/>
            <w:vAlign w:val="center"/>
          </w:tcPr>
          <w:p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153" w:type="pct"/>
            <w:vMerge w:val="restart"/>
            <w:shd w:val="clear" w:color="auto" w:fill="D9D9D9"/>
            <w:noWrap/>
            <w:vAlign w:val="center"/>
          </w:tcPr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  <w:p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2" w:type="pct"/>
            <w:vMerge w:val="restart"/>
            <w:shd w:val="clear" w:color="auto" w:fill="D9D9D9"/>
            <w:vAlign w:val="center"/>
          </w:tcPr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4A3B3B" w:rsidRPr="00C426D8" w:rsidTr="004A3B3B">
        <w:trPr>
          <w:trHeight w:val="654"/>
          <w:jc w:val="center"/>
        </w:trPr>
        <w:tc>
          <w:tcPr>
            <w:tcW w:w="303" w:type="pct"/>
            <w:vMerge/>
            <w:shd w:val="clear" w:color="auto" w:fill="D9D9D9"/>
            <w:vAlign w:val="center"/>
          </w:tcPr>
          <w:p w:rsidR="004A3B3B" w:rsidRPr="00C426D8" w:rsidRDefault="004A3B3B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D9D9D9"/>
            <w:vAlign w:val="center"/>
          </w:tcPr>
          <w:p w:rsidR="004A3B3B" w:rsidRPr="00C426D8" w:rsidRDefault="004A3B3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775" w:type="pct"/>
            <w:shd w:val="clear" w:color="auto" w:fill="D9D9D9"/>
            <w:vAlign w:val="center"/>
          </w:tcPr>
          <w:p w:rsidR="004A3B3B" w:rsidRPr="00C426D8" w:rsidRDefault="004A3B3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775" w:type="pct"/>
            <w:shd w:val="clear" w:color="auto" w:fill="D9D9D9"/>
            <w:vAlign w:val="center"/>
          </w:tcPr>
          <w:p w:rsidR="004A3B3B" w:rsidRPr="00C426D8" w:rsidRDefault="004A3B3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1056" w:type="pct"/>
            <w:shd w:val="clear" w:color="auto" w:fill="D9D9D9"/>
            <w:noWrap/>
            <w:vAlign w:val="center"/>
          </w:tcPr>
          <w:p w:rsidR="004A3B3B" w:rsidRPr="00C426D8" w:rsidRDefault="004A3B3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850" w:type="pct"/>
            <w:shd w:val="clear" w:color="auto" w:fill="D9D9D9"/>
            <w:noWrap/>
            <w:vAlign w:val="center"/>
          </w:tcPr>
          <w:p w:rsidR="004A3B3B" w:rsidRPr="00C426D8" w:rsidRDefault="004A3B3B" w:rsidP="00A0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UNIDAD TERRITORIAL</w:t>
            </w:r>
          </w:p>
        </w:tc>
        <w:tc>
          <w:tcPr>
            <w:tcW w:w="153" w:type="pct"/>
            <w:vMerge/>
            <w:shd w:val="clear" w:color="auto" w:fill="D9D9D9"/>
            <w:vAlign w:val="center"/>
          </w:tcPr>
          <w:p w:rsidR="004A3B3B" w:rsidRPr="00C426D8" w:rsidRDefault="004A3B3B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D9D9D9"/>
          </w:tcPr>
          <w:p w:rsidR="004A3B3B" w:rsidRPr="00C426D8" w:rsidRDefault="004A3B3B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ALVA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DE LOURDES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ALVA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GABINO NARCISO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ROSA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ANICETO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MARIANO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CRISTIAN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MARIANO MACARIO ROSALIA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ARTEAGA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JUAREZ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ALBERTO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BALBANERA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SEGURA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CARRILLO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CORTES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RUTILIA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VILLEDA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ESTHER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CASTRO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GALICIA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FELIPE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IRINEO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RAMON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OSCAR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MIRIAM JUANA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NADIA KARINA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TERESA DE JESUS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VIVAS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JORGE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GIL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TOVAR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MONSERRAT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GOMEZ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AMEZQUITA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ELENA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ARNULFO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GARDUÑO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MARGARITA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DE LA CRUZ GONZALEZ CLAUDIA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GRANADOS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ALTAGRACIA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ALBA GRANADOS MARIA ISABEL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GUADARRAMA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SILVA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SILVIA ESTELA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VILLANUEVA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ISABEL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GALICIA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MARICELA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GUERRERO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JUAN DAMACIO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HERLINDA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GRANADOS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GUADALUPE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HURTADO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CORTES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SOPHIA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HURTADO LOPEZ CESAR OMAR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INES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MANCILLA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VALDEZ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TERESA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MARQUEZ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MATIAS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FRANCISCO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DE JESUS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DEL CARMEN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PORFIRIO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MANZO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CELEDONIO ANTONIO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MURILLO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ADRIAN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MEJIA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MORENO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FELISA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MOLINA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SALAZAR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MARCO ANTONIO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MORALES </w:t>
            </w:r>
            <w:proofErr w:type="spellStart"/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  <w:proofErr w:type="spellEnd"/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ESPERANZA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MORALES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IVAN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MORALES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RUFINO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MORENO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VICTOR MANUEL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MUCIÑO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ANA ISELA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MUCIÑO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CARLOS EDER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RUIZ MAÑON LETICIA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EL HUZACHITO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NARVAEZ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CANO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MERCEDES IMELDA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OLVERA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RESENDIZ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IVET ESTEFANI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MOLINA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CONCEPCION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PINEDA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DOMINGUEZ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RODRIGO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PLATA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SOTO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MARTHA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EL CONTADERO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RANGEL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LINARES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SANDRA ELOISA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EL CONTADERO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RIVERA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RAYMUNDO ANTONIO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AGUILAR PASTRANA MARIA MARTHA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MARIA ANTONINA CIRINA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ISRAEL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ROSALES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ESQUIVEL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JUAN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LOMAS DE SAN PEDRO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RUIS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CERVANTES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 CIRILA JESUS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 xml:space="preserve">SALINAS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VIRGINIA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SANTIAGO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ESPINOZA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JUAN JAVIER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SANTOS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JOSE ALBERTO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SOLIS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CALZADILLA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ASHLEY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CALZADILLA GARCÍA MARISOL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SOTO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RESENDIZ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JAIME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TELLECHEA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PATRICIA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TINAJAS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CAMARENA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BELEM BEATRIZ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UREÑA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QUINTANA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CATERINE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QUINTANA CRUZ MARIBEL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EL YAQUI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VIVAS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ANGELITA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4A3B3B" w:rsidRPr="002404FD" w:rsidTr="004A3B3B">
        <w:trPr>
          <w:trHeight w:hRule="exact"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ZUMAYA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ALEJANDRO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SIN TUTOR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3B" w:rsidRPr="002404FD" w:rsidRDefault="004A3B3B" w:rsidP="00240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4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</w:tbl>
    <w:p w:rsidR="00882C45" w:rsidRDefault="00882C45" w:rsidP="00882C4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2C45" w:rsidRPr="00F30E61" w:rsidRDefault="00882C45" w:rsidP="00882C4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TRANSITORIOS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PRIMERO.-</w:t>
      </w:r>
      <w:r w:rsidRPr="00F30E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Publíquese en la Gaceta Oficial 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SEGUNDO.-</w:t>
      </w:r>
      <w:r w:rsidRPr="00F30E61">
        <w:rPr>
          <w:rFonts w:ascii="Times New Roman" w:hAnsi="Times New Roman"/>
          <w:sz w:val="20"/>
          <w:szCs w:val="20"/>
        </w:rPr>
        <w:t xml:space="preserve"> Este aviso entra en vigor a</w:t>
      </w:r>
      <w:r>
        <w:rPr>
          <w:rFonts w:ascii="Times New Roman" w:hAnsi="Times New Roman"/>
          <w:sz w:val="20"/>
          <w:szCs w:val="20"/>
        </w:rPr>
        <w:t xml:space="preserve">l día siguiente </w:t>
      </w:r>
      <w:r w:rsidRPr="00F30E61">
        <w:rPr>
          <w:rFonts w:ascii="Times New Roman" w:hAnsi="Times New Roman"/>
          <w:sz w:val="20"/>
          <w:szCs w:val="20"/>
        </w:rPr>
        <w:t xml:space="preserve">de su publicación en la Gaceta Oficial </w:t>
      </w:r>
      <w:r>
        <w:rPr>
          <w:rFonts w:ascii="Times New Roman" w:hAnsi="Times New Roman"/>
          <w:sz w:val="20"/>
          <w:szCs w:val="20"/>
        </w:rPr>
        <w:t>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Cuajimalpa de Morelo</w:t>
      </w:r>
      <w:r>
        <w:rPr>
          <w:rFonts w:ascii="Times New Roman" w:hAnsi="Times New Roman"/>
          <w:sz w:val="20"/>
          <w:szCs w:val="20"/>
        </w:rPr>
        <w:t xml:space="preserve">s, Ciudad de México a los diecisiete </w:t>
      </w:r>
      <w:r w:rsidRPr="00F30E61">
        <w:rPr>
          <w:rFonts w:ascii="Times New Roman" w:hAnsi="Times New Roman"/>
          <w:sz w:val="20"/>
          <w:szCs w:val="20"/>
        </w:rPr>
        <w:t>dí</w:t>
      </w:r>
      <w:r>
        <w:rPr>
          <w:rFonts w:ascii="Times New Roman" w:hAnsi="Times New Roman"/>
          <w:sz w:val="20"/>
          <w:szCs w:val="20"/>
        </w:rPr>
        <w:t>as del mes de marzo del año dos</w:t>
      </w:r>
      <w:r w:rsidRPr="00F30E61">
        <w:rPr>
          <w:rFonts w:ascii="Times New Roman" w:hAnsi="Times New Roman"/>
          <w:sz w:val="20"/>
          <w:szCs w:val="20"/>
        </w:rPr>
        <w:t xml:space="preserve"> mil </w:t>
      </w:r>
      <w:r>
        <w:rPr>
          <w:rFonts w:ascii="Times New Roman" w:hAnsi="Times New Roman"/>
          <w:sz w:val="20"/>
          <w:szCs w:val="20"/>
        </w:rPr>
        <w:t>dieciséis</w:t>
      </w:r>
      <w:r w:rsidRPr="00F30E61">
        <w:rPr>
          <w:rFonts w:ascii="Times New Roman" w:hAnsi="Times New Roman"/>
          <w:sz w:val="20"/>
          <w:szCs w:val="20"/>
        </w:rPr>
        <w:t>.</w:t>
      </w:r>
    </w:p>
    <w:p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LIC. ALEJANDRO E. ZAPATA SÁNCHEZ</w:t>
      </w:r>
    </w:p>
    <w:p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___________________________________________</w:t>
      </w:r>
    </w:p>
    <w:p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2DFE">
        <w:rPr>
          <w:rFonts w:ascii="Times New Roman" w:hAnsi="Times New Roman"/>
          <w:sz w:val="20"/>
          <w:szCs w:val="20"/>
        </w:rPr>
        <w:t>DIREC</w:t>
      </w:r>
      <w:r>
        <w:rPr>
          <w:rFonts w:ascii="Times New Roman" w:hAnsi="Times New Roman"/>
          <w:sz w:val="20"/>
          <w:szCs w:val="20"/>
        </w:rPr>
        <w:t>TOR</w:t>
      </w:r>
      <w:r w:rsidRPr="00232DFE">
        <w:rPr>
          <w:rFonts w:ascii="Times New Roman" w:hAnsi="Times New Roman"/>
          <w:sz w:val="20"/>
          <w:szCs w:val="20"/>
        </w:rPr>
        <w:t xml:space="preserve"> GENERAL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2DFE">
        <w:rPr>
          <w:rFonts w:ascii="Times New Roman" w:hAnsi="Times New Roman"/>
          <w:sz w:val="20"/>
          <w:szCs w:val="20"/>
        </w:rPr>
        <w:t>DE DESARROLLO SOCIAL</w:t>
      </w:r>
    </w:p>
    <w:p w:rsidR="00687958" w:rsidRDefault="00882C45" w:rsidP="00882C45">
      <w:pPr>
        <w:spacing w:after="0" w:line="240" w:lineRule="auto"/>
        <w:jc w:val="center"/>
      </w:pPr>
      <w:r w:rsidRPr="00232DFE">
        <w:rPr>
          <w:rFonts w:ascii="Times New Roman" w:hAnsi="Times New Roman"/>
          <w:sz w:val="20"/>
          <w:szCs w:val="20"/>
        </w:rPr>
        <w:t>EN CUAJIMALPA DE MORELOS</w:t>
      </w:r>
    </w:p>
    <w:sectPr w:rsidR="00687958" w:rsidSect="007F7B27">
      <w:pgSz w:w="12240" w:h="15840" w:code="1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7AD"/>
    <w:multiLevelType w:val="hybridMultilevel"/>
    <w:tmpl w:val="82CC705E"/>
    <w:lvl w:ilvl="0" w:tplc="45309D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0BEE"/>
    <w:multiLevelType w:val="hybridMultilevel"/>
    <w:tmpl w:val="F97CB252"/>
    <w:lvl w:ilvl="0" w:tplc="43440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5718"/>
    <w:multiLevelType w:val="hybridMultilevel"/>
    <w:tmpl w:val="71622F16"/>
    <w:lvl w:ilvl="0" w:tplc="105020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27C"/>
    <w:multiLevelType w:val="hybridMultilevel"/>
    <w:tmpl w:val="41224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0"/>
    <w:rsid w:val="0002099C"/>
    <w:rsid w:val="00035E66"/>
    <w:rsid w:val="000735E9"/>
    <w:rsid w:val="000E00DC"/>
    <w:rsid w:val="001C3B4E"/>
    <w:rsid w:val="00214078"/>
    <w:rsid w:val="002404FD"/>
    <w:rsid w:val="00254DEF"/>
    <w:rsid w:val="003135D1"/>
    <w:rsid w:val="0032129B"/>
    <w:rsid w:val="00322262"/>
    <w:rsid w:val="00457E7A"/>
    <w:rsid w:val="00475FEE"/>
    <w:rsid w:val="004A3B3B"/>
    <w:rsid w:val="004C04D6"/>
    <w:rsid w:val="004F72D1"/>
    <w:rsid w:val="00687958"/>
    <w:rsid w:val="006D7B7C"/>
    <w:rsid w:val="0071618F"/>
    <w:rsid w:val="00723462"/>
    <w:rsid w:val="0073052A"/>
    <w:rsid w:val="0079744D"/>
    <w:rsid w:val="007F7B27"/>
    <w:rsid w:val="00882C45"/>
    <w:rsid w:val="008A0187"/>
    <w:rsid w:val="008C121B"/>
    <w:rsid w:val="008D5D8E"/>
    <w:rsid w:val="00A5652A"/>
    <w:rsid w:val="00B3446F"/>
    <w:rsid w:val="00B8180E"/>
    <w:rsid w:val="00BB67A9"/>
    <w:rsid w:val="00BC269C"/>
    <w:rsid w:val="00C210C3"/>
    <w:rsid w:val="00C24020"/>
    <w:rsid w:val="00C426D8"/>
    <w:rsid w:val="00C641BA"/>
    <w:rsid w:val="00C85751"/>
    <w:rsid w:val="00D250EB"/>
    <w:rsid w:val="00D43E39"/>
    <w:rsid w:val="00D57B23"/>
    <w:rsid w:val="00D8219F"/>
    <w:rsid w:val="00DA6E5C"/>
    <w:rsid w:val="00DD4928"/>
    <w:rsid w:val="00EA73BC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o vertiente</vt:lpstr>
    </vt:vector>
  </TitlesOfParts>
  <Company>Hewlett-Packard Company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o vertiente</dc:title>
  <dc:creator>Subdirección Servicios Sociales</dc:creator>
  <cp:lastModifiedBy>Maru</cp:lastModifiedBy>
  <cp:revision>6</cp:revision>
  <cp:lastPrinted>2016-03-17T17:52:00Z</cp:lastPrinted>
  <dcterms:created xsi:type="dcterms:W3CDTF">2016-03-21T21:35:00Z</dcterms:created>
  <dcterms:modified xsi:type="dcterms:W3CDTF">2016-03-22T21:09:00Z</dcterms:modified>
</cp:coreProperties>
</file>